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D496" w14:textId="77777777" w:rsidR="006538BA" w:rsidRPr="001E7A5E" w:rsidRDefault="006538BA" w:rsidP="002F5E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1E7A5E">
        <w:rPr>
          <w:rFonts w:ascii="Times New Roman" w:hAnsi="Times New Roman" w:cs="Times New Roman"/>
          <w:b/>
          <w:bCs/>
          <w:sz w:val="24"/>
          <w:szCs w:val="24"/>
        </w:rPr>
        <w:t xml:space="preserve">етодика расчета и распределения дотаций на выравнивание бюджетной обеспеченности поселений </w:t>
      </w:r>
    </w:p>
    <w:p w14:paraId="486F757F" w14:textId="77777777" w:rsidR="006538BA" w:rsidRPr="001E7A5E" w:rsidRDefault="006538BA" w:rsidP="002F5E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9087C" w14:textId="384FAE3D" w:rsidR="002F5ECA" w:rsidRPr="001E7A5E" w:rsidRDefault="002F5ECA" w:rsidP="002F5E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(утверждена законом Ханты-Мансийского автономного округа - Югры от 10.11.2008 № 132-оз «О межбюджетных отношениях в Ханты-Мансийском автономном округе – Югре» (приложение </w:t>
      </w:r>
      <w:r w:rsidRPr="001E7A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7A5E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14:paraId="63DC2E4E" w14:textId="10E93F81" w:rsidR="001E7A5E" w:rsidRPr="001E7A5E" w:rsidRDefault="001E7A5E" w:rsidP="002F5E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D9422B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I. Введение</w:t>
      </w:r>
    </w:p>
    <w:p w14:paraId="38CC51C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8FC5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1.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района.</w:t>
      </w:r>
    </w:p>
    <w:p w14:paraId="03A50A98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2. Для целей настоящей Методики используются следующие основные понятия:</w:t>
      </w:r>
    </w:p>
    <w:p w14:paraId="6D942828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1) уровень расчетной бюджетной обеспеченности поселения - соотношение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жителя;</w:t>
      </w:r>
    </w:p>
    <w:p w14:paraId="67D5768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2) налоговый потенциал поселения - оценка налоговых доходов, которые могут быть получены бюджетом поселения исходя из уровня развития и структуры экономики и (или) налоговой базы из основных налоговых источников, закрепленных за этим поселением;</w:t>
      </w:r>
    </w:p>
    <w:p w14:paraId="0331C7FB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3) индекс налогового потенциала поселения - отношение налогового потенциала поселения в расчете на одного жителя к аналогичному показателю в среднем по всем поселениям;</w:t>
      </w:r>
    </w:p>
    <w:p w14:paraId="27D1A9F9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4) индекс бюджетных расходов поселения - показатель, определяющий, во сколько раз больше (меньше) средств бюджета поселения в расчете на одного жителя по сравнению со средним по всем поселениям, входящим в состав данного муниципального района, уровнем необходимо затратить для осуществления полномочий по решению вопросов местного значения поселений с учетом специфики социально-демографического состава обслуживаемого населения и иных объективных факторов, влияющих на стоимость предоставляемых муниципальных услуг в расчете на одного жителя.</w:t>
      </w:r>
    </w:p>
    <w:p w14:paraId="31727B5E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3.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года.</w:t>
      </w:r>
    </w:p>
    <w:p w14:paraId="0FF3A1B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E9CEE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II. Расчет общего объема и распределения дотаций</w:t>
      </w:r>
    </w:p>
    <w:p w14:paraId="4A270E9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на выравнивание бюджетной обеспеченности поселений</w:t>
      </w:r>
    </w:p>
    <w:p w14:paraId="2FEF2F8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F59DD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1. Общий объем дотации на выравнивание бюджетной обеспеченности поселений на очередной финансовый год (первый и второй годы планового периода) устанавливается решением о бюджете муниципального района на уровне не ниже минимального уровня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Д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мин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), рассчитываемого по следующей формуле:</w:t>
      </w:r>
    </w:p>
    <w:p w14:paraId="3027248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09C6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Д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мин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СМРч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+ С, где:</w:t>
      </w:r>
    </w:p>
    <w:p w14:paraId="5A6C8A42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0EF5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lastRenderedPageBreak/>
        <w:t>СМРч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объем субвенции бюджету муниципального района из бюджета автономного округа на исполнение переданных отдельных государственных полномочий на очередной финансовый год (первый и второй годы планового периода) (в части, соответствующей численности постоянного населения поселений);</w:t>
      </w:r>
    </w:p>
    <w:p w14:paraId="6BEA2BD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 xml:space="preserve">С - объем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на очередной финансовый год (первый и второй годы планового периода), включая средства бюджета муниципального района, направленные на обеспечение уровня софинансирования расходных обязательств местного бюджета. </w:t>
      </w:r>
      <w:hyperlink r:id="rId4" w:history="1">
        <w:r w:rsidRPr="001E7A5E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предоставления и </w:t>
      </w:r>
      <w:hyperlink r:id="rId5" w:history="1">
        <w:r w:rsidRPr="001E7A5E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расчета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устанавливается Правительством Ханты-Мансийского автономного округа - Югры.</w:t>
      </w:r>
    </w:p>
    <w:p w14:paraId="11A03458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2. Объем дотации на выравнивание бюджетной обеспеченности поселений n-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поселению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Д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4A04BCA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C644B6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Д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Д1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 xml:space="preserve"> + Д2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>, где:</w:t>
      </w:r>
    </w:p>
    <w:p w14:paraId="7B46BF1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F13A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Д1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объем первой части дотации на выравнивание бюджетной обеспеченности поселений n-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городскому, сельскому поселению;</w:t>
      </w:r>
    </w:p>
    <w:p w14:paraId="1740DBA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Д2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объем второй части дотации на выравнивание бюджетной обеспеченности поселений n-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городскому, сельскому поселению.</w:t>
      </w:r>
    </w:p>
    <w:p w14:paraId="2E36AF05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3. Объем первой части дотации на выравнивание бюджетной обеспеченности поселений n-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поселению (Д1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 xml:space="preserve">) рассчитывается в соответствии с методикой, изложенной в </w:t>
      </w:r>
      <w:hyperlink r:id="rId6" w:history="1">
        <w:r w:rsidRPr="001E7A5E">
          <w:rPr>
            <w:rFonts w:ascii="Times New Roman" w:hAnsi="Times New Roman" w:cs="Times New Roman"/>
            <w:sz w:val="24"/>
            <w:szCs w:val="24"/>
          </w:rPr>
          <w:t>пункте 2 приложения 1.1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к настоящему Закону.</w:t>
      </w:r>
    </w:p>
    <w:p w14:paraId="02E50C24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4. Объем второй части дотации на выравнивание бюджетной обеспеченности поселений n-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городскому, сельскому поселению (Д2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280F72D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5203B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Д2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1E7A5E">
        <w:rPr>
          <w:rFonts w:ascii="Times New Roman" w:hAnsi="Times New Roman" w:cs="Times New Roman"/>
          <w:sz w:val="24"/>
          <w:szCs w:val="24"/>
        </w:rPr>
        <w:t xml:space="preserve"> = Д2 x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Т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/ SUM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Т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), где:</w:t>
      </w:r>
    </w:p>
    <w:p w14:paraId="06A279E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AB61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Д2 - объем дотации на выравнивание бюджетной обеспеченности поселений, сформированный за счет собственных средств бюджета муниципального района, включая субсидию на выравнивание бюджетной обеспеченности поселений, входящих в состав муниципального района, в очередном финансовом году (первом и втором годах планового периода);</w:t>
      </w:r>
    </w:p>
    <w:p w14:paraId="5B981B72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Т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поселений.</w:t>
      </w:r>
    </w:p>
    <w:p w14:paraId="7561B9C1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5.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Т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), рассчитывается по следующей формуле:</w:t>
      </w:r>
    </w:p>
    <w:p w14:paraId="41201D0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7199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Т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(ПНД / Н) x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кр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) x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ИБР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, где:</w:t>
      </w:r>
    </w:p>
    <w:p w14:paraId="136EAE7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27226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lastRenderedPageBreak/>
        <w:t>ПНД - прогноз налоговых доходов бюджетов поселений, входящих в состав муниципального района, на очередной финансовый год (первый и второй годы планового периода);</w:t>
      </w:r>
    </w:p>
    <w:p w14:paraId="305FC53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муниципального района;</w:t>
      </w:r>
    </w:p>
    <w:p w14:paraId="651D1210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кр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уровень расчетной бюджетной обеспеченности, установленный в качестве критерия выравнивания расчетной бюджетной обеспеченности поселений;</w:t>
      </w:r>
    </w:p>
    <w:p w14:paraId="274AD62B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уровень расчетной бюджетной обеспеченности n-го поселения;</w:t>
      </w:r>
    </w:p>
    <w:p w14:paraId="7D06E7BD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ИБР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индекс бюджетных расходов n-го поселения;</w:t>
      </w:r>
    </w:p>
    <w:p w14:paraId="0CF53FBD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поселения.</w:t>
      </w:r>
    </w:p>
    <w:p w14:paraId="379AF5BA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6. Уровень расчетной бюджетной обеспеченности, установленный в качестве критерия выравнивания расчетной бюджетной обеспеченности поселений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кр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), рассчитывается по следующей формуле:</w:t>
      </w:r>
    </w:p>
    <w:p w14:paraId="4ED19FA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6EDF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кр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(ПНД + Д2) / ПНД.</w:t>
      </w:r>
    </w:p>
    <w:p w14:paraId="6844C35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70F4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III. Определение уровня расчетной бюджетной обеспеченности</w:t>
      </w:r>
    </w:p>
    <w:p w14:paraId="76E166B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2D569D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Уровень расчетной бюджетной обеспеченности n-го поселения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2660956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19957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БО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ИБР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, где:</w:t>
      </w:r>
    </w:p>
    <w:p w14:paraId="6F748C86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FDC6D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индекс налогового потенциала n-го поселения;</w:t>
      </w:r>
    </w:p>
    <w:p w14:paraId="5DF8233A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ИБР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индекс бюджетных расходов n-го поселения.</w:t>
      </w:r>
    </w:p>
    <w:p w14:paraId="136C5BEA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ECC7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IV. Расчет индекса налогового потенциала</w:t>
      </w:r>
    </w:p>
    <w:p w14:paraId="35C5D9E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438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1. Индекс налогового потенциала n-го поселения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0FDEC9F7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6C63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/ (НП / Н), где:</w:t>
      </w:r>
    </w:p>
    <w:p w14:paraId="4620549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5A593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налоговый потенциал n-го поселения;</w:t>
      </w:r>
    </w:p>
    <w:p w14:paraId="621D281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поселения;</w:t>
      </w:r>
    </w:p>
    <w:p w14:paraId="13989C8E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НП - суммарный налоговый потенциал всех поселений, входящих в состав данного муниципального района;</w:t>
      </w:r>
    </w:p>
    <w:p w14:paraId="60BABA04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 w14:paraId="767F21C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2.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поселения, прогноза поступлений данного налога с территорий всех поселений данного муниципального района в консолидированный бюджет Ханты-</w:t>
      </w:r>
      <w:r w:rsidRPr="001E7A5E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- Югры, а также норматива отчислений от данного налога в бюджеты поселений.</w:t>
      </w:r>
    </w:p>
    <w:p w14:paraId="063F2EC7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3. Репрезентативная система налогов включает в себя отдельные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Налоговые доходы, не входящие в репрезентативную систему, а также неналоговые доходы не учитываются при определении уровня расчетной бюджетной обеспеченности поселений.</w:t>
      </w:r>
    </w:p>
    <w:p w14:paraId="40F2425D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 xml:space="preserve">4. Состав репрезентативной системы налогов, перечень показателей, характеризующих налоговый потенциал поселений по видам налогов, а также источники информации представлены в </w:t>
      </w:r>
      <w:hyperlink w:anchor="Par70" w:history="1">
        <w:r w:rsidRPr="001E7A5E">
          <w:rPr>
            <w:rFonts w:ascii="Times New Roman" w:hAnsi="Times New Roman" w:cs="Times New Roman"/>
            <w:sz w:val="24"/>
            <w:szCs w:val="24"/>
          </w:rPr>
          <w:t>таблице 1</w:t>
        </w:r>
      </w:hyperlink>
      <w:r w:rsidRPr="001E7A5E">
        <w:rPr>
          <w:rFonts w:ascii="Times New Roman" w:hAnsi="Times New Roman" w:cs="Times New Roman"/>
          <w:sz w:val="24"/>
          <w:szCs w:val="24"/>
        </w:rPr>
        <w:t>.</w:t>
      </w:r>
    </w:p>
    <w:p w14:paraId="28E8BAD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5551E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70"/>
      <w:bookmarkEnd w:id="0"/>
      <w:r w:rsidRPr="001E7A5E">
        <w:rPr>
          <w:rFonts w:ascii="Times New Roman" w:hAnsi="Times New Roman" w:cs="Times New Roman"/>
          <w:sz w:val="24"/>
          <w:szCs w:val="24"/>
        </w:rPr>
        <w:t>Таблица 1</w:t>
      </w:r>
    </w:p>
    <w:p w14:paraId="7B34E04A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4082"/>
        <w:gridCol w:w="3345"/>
      </w:tblGrid>
      <w:tr w:rsidR="001E7A5E" w:rsidRPr="001E7A5E" w14:paraId="69954D3B" w14:textId="77777777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601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Вид налога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D27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налоговый потенциал поселения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460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1E7A5E" w:rsidRPr="001E7A5E" w14:paraId="4C372929" w14:textId="77777777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BFC8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BFC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275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7A5E" w:rsidRPr="001E7A5E" w14:paraId="68DF7C06" w14:textId="77777777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2EEBF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01F5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общая сумма исчисленного налога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DF57D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России по Ханты-Мансийскому автономному округу - Югре (форма 5-НДФЛ)</w:t>
            </w:r>
          </w:p>
        </w:tc>
      </w:tr>
      <w:tr w:rsidR="001E7A5E" w:rsidRPr="001E7A5E" w14:paraId="36AC156F" w14:textId="77777777" w:rsidTr="00BB574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83E1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B45CE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сумма показателей:</w:t>
            </w:r>
          </w:p>
          <w:p w14:paraId="0A619501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сумма налога на имущество физических лиц, предъявленная к уплате;</w:t>
            </w:r>
          </w:p>
          <w:p w14:paraId="5C9DFE6F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сумма налога на имущество физических лиц, не поступившая в бюджет в связи с предоставлением налогоплательщикам льгот, установленных органами местного самоуправления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592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России по Ханты-Мансийскому автономному округу - Югре (форма 5-МН)</w:t>
            </w:r>
          </w:p>
        </w:tc>
      </w:tr>
      <w:tr w:rsidR="001E7A5E" w:rsidRPr="001E7A5E" w14:paraId="4255101E" w14:textId="77777777" w:rsidTr="00BB5745">
        <w:trPr>
          <w:trHeight w:val="3588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D8F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55BC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сумма показателей:</w:t>
            </w:r>
          </w:p>
          <w:p w14:paraId="2433DE85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сумма земельного налога, подлежащая уплате в бюджет;</w:t>
            </w:r>
          </w:p>
          <w:p w14:paraId="74EC6A42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 xml:space="preserve">сумма земельного налога, не поступившая в бюджет в связи с предоставлением налогоплательщикам льгот, установленных в соответствии с </w:t>
            </w:r>
            <w:hyperlink r:id="rId7" w:history="1">
              <w:r w:rsidRPr="001E7A5E">
                <w:rPr>
                  <w:rFonts w:ascii="Times New Roman" w:hAnsi="Times New Roman" w:cs="Times New Roman"/>
                  <w:sz w:val="24"/>
                  <w:szCs w:val="24"/>
                </w:rPr>
                <w:t>пунктом 2 статьи 387</w:t>
              </w:r>
            </w:hyperlink>
            <w:r w:rsidRPr="001E7A5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 нормативными правовыми актами представительных органов муниципальных образований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4CEE" w14:textId="77777777" w:rsidR="001E7A5E" w:rsidRPr="001E7A5E" w:rsidRDefault="001E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7A5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России по Ханты-Мансийскому автономному округу - Югре (форма 5-МН)</w:t>
            </w:r>
          </w:p>
        </w:tc>
      </w:tr>
    </w:tbl>
    <w:p w14:paraId="1626594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CF0DB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5. Налоговый потенциал n-го поселения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34F0F48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09E6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SUM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, где:</w:t>
      </w:r>
    </w:p>
    <w:p w14:paraId="3629AF5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8288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налоговый потенциал n-го поселения по j-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налогу (суммирование производится по всем налогам, входящим в состав репрезентативной системы налогов).</w:t>
      </w:r>
    </w:p>
    <w:p w14:paraId="1D774B96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6. Налоговый потенциал n-го поселения по j-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налогу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ij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049B883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C688B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НП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ПД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Норм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x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), где:</w:t>
      </w:r>
    </w:p>
    <w:p w14:paraId="2476C3C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42263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ПД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прогноз поступлений j-го налога на очередной финансовый год (первый или второй год планового периода) с территорий всех поселений, входящих в состав данного муниципального района, в консолидированный бюджет автономного округа;</w:t>
      </w:r>
    </w:p>
    <w:p w14:paraId="33C2477B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Норм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единый норматив отчислений в бюджеты поселений от j-го налога в соответствии с требованиями Бюджетного </w:t>
      </w:r>
      <w:hyperlink r:id="rId8" w:history="1">
        <w:r w:rsidRPr="001E7A5E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9" w:history="1">
        <w:r w:rsidRPr="001E7A5E">
          <w:rPr>
            <w:rFonts w:ascii="Times New Roman" w:hAnsi="Times New Roman" w:cs="Times New Roman"/>
            <w:sz w:val="24"/>
            <w:szCs w:val="24"/>
          </w:rPr>
          <w:t>статьи 3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настоящего Закона, а также правовых актов муниципального района;</w:t>
      </w:r>
    </w:p>
    <w:p w14:paraId="3F3D189E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показатель, характеризующий налоговый потенциал n-го поселения по j-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налогу за отчетный период;</w:t>
      </w:r>
    </w:p>
    <w:p w14:paraId="25E6448F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БН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показатель, характеризующий налоговый потенциал всех поселений, входящих в состав данного муниципального района, по j-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налогу за отчетный период.</w:t>
      </w:r>
    </w:p>
    <w:p w14:paraId="0DE0EFA7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Если показатель, характеризующий налоговый потенциал n-го поселения по какому-либо налогу, имеет отрицательное значение, в расчетах налогового потенциала оно принимается равным нулю.</w:t>
      </w:r>
    </w:p>
    <w:p w14:paraId="09569B02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В случае принятия представительным органом муниципального района решения об установлении единых нормативов отчислений от налогов и сборов, подлежащих зачислению в бюджет муниципального района, в бюджеты поселений, расчет налогового потенциала поселений осуществляется с учетом указанных нормативов отчислений. В качестве показателя, характеризующего налоговый потенциал поселения в части указанных нормативов, используется показатель, установленный решением представительного органа муниципального района.</w:t>
      </w:r>
    </w:p>
    <w:p w14:paraId="5A855E30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7. Рассчитанные оценки налогового потенциала используются только для определения индекса налогового потенциала,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поселений.</w:t>
      </w:r>
    </w:p>
    <w:p w14:paraId="497B35B2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7DAD6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7A5E">
        <w:rPr>
          <w:rFonts w:ascii="Times New Roman" w:hAnsi="Times New Roman" w:cs="Times New Roman"/>
          <w:b/>
          <w:bCs/>
          <w:sz w:val="24"/>
          <w:szCs w:val="24"/>
        </w:rPr>
        <w:t>V. Расчет индекса бюджетных расходов</w:t>
      </w:r>
    </w:p>
    <w:p w14:paraId="0C23102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3025F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1. Индекс бюджетных расходов n-го поселения (</w:t>
      </w: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ИБР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2A2CBD6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C2338" w14:textId="2E18B6C0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BF4F70F" wp14:editId="753FDD46">
            <wp:extent cx="4335780" cy="289560"/>
            <wp:effectExtent l="0" t="0" r="762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7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FD14A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5CFBB2" w14:textId="1761718C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FB6D962" wp14:editId="20F5F915">
            <wp:extent cx="518160" cy="28956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стоимости предоставления муниципальных услуг в n-м поселении;</w:t>
      </w:r>
    </w:p>
    <w:p w14:paraId="6E30A039" w14:textId="0A5C700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lastRenderedPageBreak/>
        <w:drawing>
          <wp:inline distT="0" distB="0" distL="0" distR="0" wp14:anchorId="04BE63C4" wp14:editId="70CD2DA1">
            <wp:extent cx="403860" cy="28956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структуры потребителей муниципальных услуг в n-м поселении;</w:t>
      </w:r>
    </w:p>
    <w:p w14:paraId="5A7F8C4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данного муниципального района;</w:t>
      </w:r>
    </w:p>
    <w:p w14:paraId="6A34D35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поселения.</w:t>
      </w:r>
    </w:p>
    <w:p w14:paraId="079D5547" w14:textId="077CC444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2. Коэффициент стоимости предоставления муниципальных услуг в n-м поселении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705FD8B" wp14:editId="0F3BE2E9">
            <wp:extent cx="518160" cy="2895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39DD4B0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32067" w14:textId="0406E2AD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BDC7ED5" wp14:editId="2BB619C2">
            <wp:extent cx="3329940" cy="289560"/>
            <wp:effectExtent l="0" t="0" r="381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F14B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83425" w14:textId="4BCDB9D3" w:rsidR="001E7A5E" w:rsidRPr="001E7A5E" w:rsidRDefault="001E7A5E" w:rsidP="005973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q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расчетный удельный вес расходов на заработную плату и начисления на выплаты по оплате труда (включая расходы на заработную плату и начисления на выплаты по оплате труда, осуществляемые за счет субсидий, предоставляемых муниципальным бюджетным и автономным учреждениям) в среднем по бюджетам всех поселений, влияющий на коэффициент заработной платы;</w:t>
      </w:r>
    </w:p>
    <w:p w14:paraId="4A857962" w14:textId="1EB3295A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4FA9A34" wp14:editId="273E5E44">
            <wp:extent cx="320040" cy="289560"/>
            <wp:effectExtent l="0" t="0" r="381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заработной платы n-го поселения;</w:t>
      </w:r>
    </w:p>
    <w:p w14:paraId="60E5AC14" w14:textId="0307175F" w:rsidR="001E7A5E" w:rsidRPr="001E7A5E" w:rsidRDefault="001E7A5E" w:rsidP="0059733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q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расчетный удельный вес расходов на приобретение коммунальных услуг (включая расходы на приобретение коммунальных услуг муниципальными бюджетными и автономными учреждениями) в среднем по бюджетам всех поселений, влияющий на коэффициент стоимости предоставления коммунальных услуг;</w:t>
      </w:r>
    </w:p>
    <w:p w14:paraId="66077612" w14:textId="5A19EF5D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CFA9B27" wp14:editId="6D11ACAA">
            <wp:extent cx="320040" cy="289560"/>
            <wp:effectExtent l="0" t="0" r="381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стоимости предоставления коммунальных услуг n-го поселения.</w:t>
      </w:r>
    </w:p>
    <w:p w14:paraId="47498594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Каждый расчетный удельный вес из вышеуказанных, устанавливаемый уполномоченным органом местного самоуправления муниципального района, соответствует условию:</w:t>
      </w:r>
    </w:p>
    <w:p w14:paraId="6A964DF6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9D659" w14:textId="5D1313B1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051EEDFB" wp14:editId="463AE940">
            <wp:extent cx="1600200" cy="449580"/>
            <wp:effectExtent l="0" t="0" r="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0D11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291D5" w14:textId="147DAC70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3. Коэффициент заработной платы в n-м поселении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E9C5C40" wp14:editId="0F463C22">
            <wp:extent cx="320040" cy="289560"/>
            <wp:effectExtent l="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5E618BFE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47387" w14:textId="79C4F93A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F8BC138" wp14:editId="44E0A920">
            <wp:extent cx="3657600" cy="2895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0DD3B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3FC7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0,25 - повышающий коэффициент к окладам и тарифным ставкам специалистов бюджетной сферы, работающих на селе;</w:t>
      </w:r>
    </w:p>
    <w:p w14:paraId="6DF87D59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УВСН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удельный вес сельского населения n-го поселения;</w:t>
      </w:r>
    </w:p>
    <w:p w14:paraId="70EDBAAA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УВСН - удельный вес сельского населения поселений, входящих в состав данного муниципального района.</w:t>
      </w:r>
    </w:p>
    <w:p w14:paraId="035BBDAB" w14:textId="46F216C2" w:rsidR="001E7A5E" w:rsidRPr="001E7A5E" w:rsidRDefault="0058294B" w:rsidP="00CF2C0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1E7A5E" w:rsidRPr="001E7A5E" w:rsidSect="00CF2C04">
          <w:pgSz w:w="11905" w:h="16838"/>
          <w:pgMar w:top="1134" w:right="850" w:bottom="851" w:left="1701" w:header="0" w:footer="0" w:gutter="0"/>
          <w:cols w:space="720"/>
          <w:noEndnote/>
          <w:docGrid w:linePitch="299"/>
        </w:sect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2DF0CE44" wp14:editId="25D74E78">
            <wp:simplePos x="0" y="0"/>
            <wp:positionH relativeFrom="column">
              <wp:posOffset>581025</wp:posOffset>
            </wp:positionH>
            <wp:positionV relativeFrom="paragraph">
              <wp:posOffset>309245</wp:posOffset>
            </wp:positionV>
            <wp:extent cx="396240" cy="250825"/>
            <wp:effectExtent l="0" t="0" r="3810" b="0"/>
            <wp:wrapThrough wrapText="bothSides">
              <wp:wrapPolygon edited="0">
                <wp:start x="0" y="1641"/>
                <wp:lineTo x="0" y="19686"/>
                <wp:lineTo x="19731" y="19686"/>
                <wp:lineTo x="20769" y="8203"/>
                <wp:lineTo x="19731" y="1641"/>
                <wp:lineTo x="0" y="1641"/>
              </wp:wrapPolygon>
            </wp:wrapThrough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C04" w:rsidRPr="001E7A5E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4D0F74A" wp14:editId="11D60024">
            <wp:simplePos x="0" y="0"/>
            <wp:positionH relativeFrom="margin">
              <wp:align>left</wp:align>
            </wp:positionH>
            <wp:positionV relativeFrom="paragraph">
              <wp:posOffset>704850</wp:posOffset>
            </wp:positionV>
            <wp:extent cx="5939790" cy="203200"/>
            <wp:effectExtent l="0" t="0" r="3810" b="6350"/>
            <wp:wrapThrough wrapText="bothSides">
              <wp:wrapPolygon edited="0">
                <wp:start x="2632" y="0"/>
                <wp:lineTo x="0" y="2025"/>
                <wp:lineTo x="0" y="18225"/>
                <wp:lineTo x="5126" y="20250"/>
                <wp:lineTo x="20505" y="20250"/>
                <wp:lineTo x="21545" y="18225"/>
                <wp:lineTo x="21545" y="2025"/>
                <wp:lineTo x="6165" y="0"/>
                <wp:lineTo x="2632" y="0"/>
              </wp:wrapPolygon>
            </wp:wrapThrough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A5E" w:rsidRPr="001E7A5E">
        <w:rPr>
          <w:rFonts w:ascii="Times New Roman" w:hAnsi="Times New Roman" w:cs="Times New Roman"/>
          <w:sz w:val="24"/>
          <w:szCs w:val="24"/>
        </w:rPr>
        <w:t xml:space="preserve">4. Коэффициент стоимости предоставления коммунальных услуг в n-м </w:t>
      </w:r>
      <w:proofErr w:type="gramStart"/>
      <w:r w:rsidR="001E7A5E" w:rsidRPr="001E7A5E">
        <w:rPr>
          <w:rFonts w:ascii="Times New Roman" w:hAnsi="Times New Roman" w:cs="Times New Roman"/>
          <w:sz w:val="24"/>
          <w:szCs w:val="24"/>
        </w:rPr>
        <w:t>поселении</w:t>
      </w:r>
      <w:r w:rsidR="00AD7516">
        <w:rPr>
          <w:rFonts w:ascii="Times New Roman" w:hAnsi="Times New Roman" w:cs="Times New Roman"/>
          <w:sz w:val="24"/>
          <w:szCs w:val="24"/>
        </w:rPr>
        <w:t xml:space="preserve"> </w:t>
      </w:r>
      <w:r w:rsidR="001E7A5E" w:rsidRPr="001E7A5E">
        <w:rPr>
          <w:rFonts w:ascii="Times New Roman" w:hAnsi="Times New Roman" w:cs="Times New Roman"/>
          <w:sz w:val="24"/>
          <w:szCs w:val="24"/>
        </w:rPr>
        <w:t xml:space="preserve"> </w:t>
      </w:r>
      <w:r w:rsidRPr="0058294B">
        <w:rPr>
          <w:rFonts w:ascii="Times New Roman" w:hAnsi="Times New Roman" w:cs="Times New Roman"/>
          <w:sz w:val="24"/>
          <w:szCs w:val="24"/>
        </w:rPr>
        <w:t>рассчитывается</w:t>
      </w:r>
      <w:proofErr w:type="gramEnd"/>
      <w:r w:rsidRPr="0058294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  <w:r w:rsidR="001E7A5E" w:rsidRPr="001E7A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F8C7F" w14:textId="1FCD66AF" w:rsidR="001E7A5E" w:rsidRPr="001E7A5E" w:rsidRDefault="001E7A5E" w:rsidP="00427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BB2F99F" wp14:editId="41626620">
            <wp:extent cx="335280" cy="289560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экономически обоснованный тариф на водоснабжение и водоотведение для n-го поселения на очередной финансовый год (первый или второй год планового периода);</w:t>
      </w:r>
    </w:p>
    <w:p w14:paraId="1D8D882E" w14:textId="1DA4F8D6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C1F1A35" wp14:editId="7762A01A">
            <wp:extent cx="411480" cy="289560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экономически обоснованный тариф на отопление для n-го поселения на очередной финансовый год (первый или второй год планового периода);</w:t>
      </w:r>
    </w:p>
    <w:p w14:paraId="59AE0E59" w14:textId="7CBE941F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03D4E1A" wp14:editId="38930F4B">
            <wp:extent cx="274320" cy="28956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экономически обоснованный тариф на электроснабжение для n-го поселения на очередной финансовый год (первый или второй год планового периода);</w:t>
      </w:r>
    </w:p>
    <w:p w14:paraId="05694AA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поселения;</w:t>
      </w:r>
    </w:p>
    <w:p w14:paraId="33624FE6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муниципального района;</w:t>
      </w:r>
    </w:p>
    <w:p w14:paraId="5D9FF2D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SUM - знак суммирования.</w:t>
      </w:r>
    </w:p>
    <w:p w14:paraId="6FB4C6C2" w14:textId="540E407C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 xml:space="preserve">5. Коэффициент структуры потребителей муниципальных услуг в n-м поселении </w:t>
      </w:r>
      <w:r w:rsidR="00461806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461806">
        <w:rPr>
          <w:rFonts w:ascii="Times New Roman" w:hAnsi="Times New Roman" w:cs="Times New Roman"/>
          <w:sz w:val="24"/>
          <w:szCs w:val="24"/>
        </w:rPr>
        <w:t xml:space="preserve">   </w:t>
      </w:r>
      <w:r w:rsidRPr="001E7A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AEA1609" wp14:editId="3F85704D">
            <wp:extent cx="403860" cy="28956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0539EA2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7ABF6" w14:textId="2633565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15C21E6" wp14:editId="62FD3050">
            <wp:extent cx="3238500" cy="28956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CCA26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3B5BF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а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доля расходов на муниципальное управление и организацию оказания услуг в области культуры по всем поселениям;</w:t>
      </w:r>
    </w:p>
    <w:p w14:paraId="33304518" w14:textId="2BD2E48E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68D4B1A" wp14:editId="7FBDB4ED">
            <wp:extent cx="289560" cy="28956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масштаба n-го поселения;</w:t>
      </w:r>
    </w:p>
    <w:p w14:paraId="5DD77911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а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доля расходов на содержание муниципального жилого фонда по всем поселениям;</w:t>
      </w:r>
    </w:p>
    <w:p w14:paraId="2E4C68BA" w14:textId="11338148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586D00D" wp14:editId="6F39A31D">
            <wp:extent cx="403860" cy="2895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расходов на содержание жилого фонда n-го поселения;</w:t>
      </w:r>
    </w:p>
    <w:p w14:paraId="445A8275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а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доля других видов расходов по всем поселениям;</w:t>
      </w:r>
    </w:p>
    <w:p w14:paraId="5F4BA901" w14:textId="2DD7F636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FE877FC" wp14:editId="0C0819F1">
            <wp:extent cx="426720" cy="2895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коэффициент дисперсности расселения n-го поселения.</w:t>
      </w:r>
    </w:p>
    <w:p w14:paraId="749F77C8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Каждая из вышеуказанных долей видов расходов, устанавливаемых уполномоченным органом местного самоуправления муниципального района, соответствует условию:</w:t>
      </w:r>
    </w:p>
    <w:p w14:paraId="24C32D7E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B4FBBC" w14:textId="14BA4CC4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244FE2BA" wp14:editId="61304B01">
            <wp:extent cx="1463040" cy="449580"/>
            <wp:effectExtent l="0" t="0" r="3810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A47A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0B5197" w14:textId="679357F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6. Коэффициент масштаба n-го поселения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7B9CDCB" wp14:editId="51E55FA7">
            <wp:extent cx="289560" cy="2895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0A46071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AD326" w14:textId="152998A9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E189E85" wp14:editId="5C43192C">
            <wp:extent cx="2331720" cy="2895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331D2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B1709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lastRenderedPageBreak/>
        <w:t>с - весовой коэффициент, устанавливаемый уполномоченным органом местного самоуправления муниципального района, который соответствует условию:</w:t>
      </w:r>
    </w:p>
    <w:p w14:paraId="7C1F94A0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5AE97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0 &lt;= с &lt;= 1;</w:t>
      </w:r>
    </w:p>
    <w:p w14:paraId="2357C96C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D703A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ср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средняя численность постоянного населения поселений, входящих в состав данного муниципального района;</w:t>
      </w:r>
    </w:p>
    <w:p w14:paraId="48B4328D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поселения;</w:t>
      </w:r>
    </w:p>
    <w:p w14:paraId="44042211" w14:textId="74B1E435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7. Коэффициент дифференциации расходов на содержание жилого фонда в n-м поселении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1860984" wp14:editId="6770FD4A">
            <wp:extent cx="403860" cy="2895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6D9BADA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1EAD0" w14:textId="38A3C99F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E27E571" wp14:editId="30CCB761">
            <wp:extent cx="2651760" cy="2895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9ECE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139DE" w14:textId="2D53498B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B9A0DBF" wp14:editId="74243D5F">
            <wp:extent cx="403860" cy="2895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площадь жилого фонда n-го поселения;</w:t>
      </w:r>
    </w:p>
    <w:p w14:paraId="3F95FA73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поселения;</w:t>
      </w:r>
    </w:p>
    <w:p w14:paraId="77B5F0E8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П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жф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площадь жилого фонда поселений, входящих в состав данного муниципального района;</w:t>
      </w:r>
    </w:p>
    <w:p w14:paraId="19E7DA09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 w14:paraId="6EA45885" w14:textId="5A77AF53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8. Коэффициент дисперсности расселения n-го поселения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00E2F3B" wp14:editId="4709B529">
            <wp:extent cx="426720" cy="2895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31E4CA92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3C1E61" w14:textId="6B4AC942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B36B1E9" wp14:editId="5C635F45">
            <wp:extent cx="3101340" cy="28956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632D2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89C58" w14:textId="7470879B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C5442C8" wp14:editId="5884A9BC">
            <wp:extent cx="381000" cy="2895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поселения, проживающего в населенных пунктах с численностью населения не более 500 человек;</w:t>
      </w:r>
    </w:p>
    <w:p w14:paraId="5E52D80C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n-го поселения;</w:t>
      </w:r>
    </w:p>
    <w:p w14:paraId="2B373CC5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</w:t>
      </w:r>
      <w:r w:rsidRPr="001E7A5E">
        <w:rPr>
          <w:rFonts w:ascii="Times New Roman" w:hAnsi="Times New Roman" w:cs="Times New Roman"/>
          <w:sz w:val="24"/>
          <w:szCs w:val="24"/>
          <w:vertAlign w:val="superscript"/>
        </w:rPr>
        <w:t>500</w:t>
      </w:r>
      <w:r w:rsidRPr="001E7A5E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поселений, входящих в состав данного муниципального района, проживающего в населенных пунктах с численностью населения не более 500 человек;</w:t>
      </w:r>
    </w:p>
    <w:p w14:paraId="01232770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Н - численность постоянного населения поселений, входящих в состав данного муниципального района.</w:t>
      </w:r>
    </w:p>
    <w:p w14:paraId="3CACAD4F" w14:textId="3CC722D2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 xml:space="preserve">Перечень корректирующих коэффициентов, входящих в состав коэффициента стоимости предоставления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стоимости предоставления муниципальных услуг в поселении </w:t>
      </w:r>
      <w:r w:rsidR="0046180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461806">
        <w:rPr>
          <w:rFonts w:ascii="Times New Roman" w:hAnsi="Times New Roman" w:cs="Times New Roman"/>
          <w:sz w:val="24"/>
          <w:szCs w:val="24"/>
        </w:rPr>
        <w:t xml:space="preserve">   </w:t>
      </w:r>
      <w:r w:rsidRPr="001E7A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792FEB2" wp14:editId="33DC26C7">
            <wp:extent cx="518160" cy="2895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47817D5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1C559" w14:textId="3DABE838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lastRenderedPageBreak/>
        <w:drawing>
          <wp:inline distT="0" distB="0" distL="0" distR="0" wp14:anchorId="6D41DF3C" wp14:editId="632FD930">
            <wp:extent cx="3032760" cy="44958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CCC4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4F385" w14:textId="35617192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131DE235" wp14:editId="4CA01C10">
            <wp:extent cx="586740" cy="449580"/>
            <wp:effectExtent l="0" t="0" r="381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суммирование всех расчетных удельных весов, устанавливаемых уполномоченным органом местного самоуправления муниципального района, входящих в указанный перечень, которое должно соответствовать следующему условию:</w:t>
      </w:r>
    </w:p>
    <w:p w14:paraId="45DEEC3D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9BF79" w14:textId="201971AB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7C7BC3D2" wp14:editId="3BD972E4">
            <wp:extent cx="1546860" cy="4724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33A3B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DC8E4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К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значение корректирующего коэффициента в n-м поселении.</w:t>
      </w:r>
    </w:p>
    <w:p w14:paraId="12C0BC68" w14:textId="00CC00B9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Перечень корректирующих коэффициентов, входящих в состав коэффициента структуры потребителей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структуры потребителей муниципальных услуг в поселении (</w:t>
      </w:r>
      <w:r w:rsidRPr="001E7A5E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31454D0" wp14:editId="28F2AC62">
            <wp:extent cx="403860" cy="2895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>) рассчитывается по следующей формуле:</w:t>
      </w:r>
    </w:p>
    <w:p w14:paraId="070892A3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E3B2C" w14:textId="4150F6F5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2E067D6A" wp14:editId="78A08666">
            <wp:extent cx="1844040" cy="4495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0FD85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EABEF1" w14:textId="162E49A8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4A061AC8" wp14:editId="77FBE933">
            <wp:extent cx="586740" cy="4495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A5E">
        <w:rPr>
          <w:rFonts w:ascii="Times New Roman" w:hAnsi="Times New Roman" w:cs="Times New Roman"/>
          <w:sz w:val="24"/>
          <w:szCs w:val="24"/>
        </w:rPr>
        <w:t xml:space="preserve"> - суммирование всех долей видов расходов по всем поселениям, устанавливаемых уполномоченным органом местного самоуправления муниципального района, которое должно соответствовать следующему условию:</w:t>
      </w:r>
    </w:p>
    <w:p w14:paraId="63AC0568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584929" w14:textId="1BD794DF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noProof/>
          <w:position w:val="-23"/>
          <w:sz w:val="24"/>
          <w:szCs w:val="24"/>
        </w:rPr>
        <w:drawing>
          <wp:inline distT="0" distB="0" distL="0" distR="0" wp14:anchorId="673E4B3D" wp14:editId="46BEABF4">
            <wp:extent cx="1455420" cy="4495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B96B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0D441" w14:textId="77777777"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A5E">
        <w:rPr>
          <w:rFonts w:ascii="Times New Roman" w:hAnsi="Times New Roman" w:cs="Times New Roman"/>
          <w:sz w:val="24"/>
          <w:szCs w:val="24"/>
        </w:rPr>
        <w:t>К</w:t>
      </w:r>
      <w:r w:rsidRPr="001E7A5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1E7A5E">
        <w:rPr>
          <w:rFonts w:ascii="Times New Roman" w:hAnsi="Times New Roman" w:cs="Times New Roman"/>
          <w:sz w:val="24"/>
          <w:szCs w:val="24"/>
        </w:rPr>
        <w:t xml:space="preserve"> - значение корректирующего коэффициента в n-м поселении.</w:t>
      </w:r>
    </w:p>
    <w:p w14:paraId="366B6DD2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 xml:space="preserve">Корректирующие коэффициенты, вводимые в порядке изменения перечней корректирующих коэффициентов, входящих в состав коэффициента стоимости предоставления муниципальных услуг и (или) коэффициента структуры потребителей муниципальных услуг, рассчитываются по единым для всех поселений муниципального района формулам в порядке, установленном уполномоченным органом местного самоуправления муниципального района, на основе данных официальной статистической отчетности, а также информации, представляемой органами государственной власти автономного округа и органами местного самоуправления муниципальных образований с учетом требований Бюджетного </w:t>
      </w:r>
      <w:hyperlink r:id="rId39" w:history="1">
        <w:r w:rsidRPr="001E7A5E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1E7A5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14:paraId="5260F192" w14:textId="77777777" w:rsidR="001E7A5E" w:rsidRPr="001E7A5E" w:rsidRDefault="001E7A5E" w:rsidP="001E7A5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A5E">
        <w:rPr>
          <w:rFonts w:ascii="Times New Roman" w:hAnsi="Times New Roman" w:cs="Times New Roman"/>
          <w:sz w:val="24"/>
          <w:szCs w:val="24"/>
        </w:rPr>
        <w:t>9. Рассчитанные оценки индекса бюджетных расходов используются только для определения бюджетной обеспеченности поселений в целях межбюджетного регулирования и не являются планируемыми или рекомендуемыми показателями, определяющими расходы бюджетов поселений.</w:t>
      </w:r>
    </w:p>
    <w:p w14:paraId="13B6DD97" w14:textId="77777777" w:rsidR="00060751" w:rsidRDefault="00060751"/>
    <w:sectPr w:rsidR="00060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20"/>
    <w:rsid w:val="00060751"/>
    <w:rsid w:val="001E7A5E"/>
    <w:rsid w:val="002F5ECA"/>
    <w:rsid w:val="0042783D"/>
    <w:rsid w:val="00461806"/>
    <w:rsid w:val="0058294B"/>
    <w:rsid w:val="00597339"/>
    <w:rsid w:val="005E1420"/>
    <w:rsid w:val="006538BA"/>
    <w:rsid w:val="00AD7516"/>
    <w:rsid w:val="00BB5745"/>
    <w:rsid w:val="00C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A741"/>
  <w15:chartTrackingRefBased/>
  <w15:docId w15:val="{E69054CE-10FE-4B55-9851-FCE7B05A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E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9" Type="http://schemas.openxmlformats.org/officeDocument/2006/relationships/hyperlink" Target="consultantplus://offline/ref=DB1F7D19ABBA490D4CB9B34F329110A6A88756C34675818546BBE670F0F71E9335958B851DB908B3A382EF338015h8F" TargetMode="External"/><Relationship Id="rId21" Type="http://schemas.openxmlformats.org/officeDocument/2006/relationships/image" Target="media/image12.wmf"/><Relationship Id="rId34" Type="http://schemas.openxmlformats.org/officeDocument/2006/relationships/image" Target="media/image25.wmf"/><Relationship Id="rId7" Type="http://schemas.openxmlformats.org/officeDocument/2006/relationships/hyperlink" Target="consultantplus://offline/ref=DB1F7D19ABBA490D4CB9B34F329110A6A88756C3407F818546BBE670F0F71E932795D3891CBA1FB8FECDA9668F59D1C624E9C9BFBCA012hB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1F7D19ABBA490D4CB9AD4224FD47A9AA890CCC41718DD318E6E027AFA718C667D5D5DC5CFA1BB2AA9CE5368150828960B5DABFBBBC283C44917DDD1Dh1F" TargetMode="Externa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DB1F7D19ABBA490D4CB9AD4224FD47A9AA890CCC417182D013ECE027AFA718C667D5D5DC5CFA1BB2AA9DED358050828960B5DABFBBBC283C44917DDD1Dh1F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22.wmf"/><Relationship Id="rId4" Type="http://schemas.openxmlformats.org/officeDocument/2006/relationships/hyperlink" Target="consultantplus://offline/ref=DB1F7D19ABBA490D4CB9AD4224FD47A9AA890CCC417182D013ECE027AFA718C667D5D5DC5CFA1BB2AA9DED308A50828960B5DABFBBBC283C44917DDD1Dh1F" TargetMode="External"/><Relationship Id="rId9" Type="http://schemas.openxmlformats.org/officeDocument/2006/relationships/hyperlink" Target="consultantplus://offline/ref=DB1F7D19ABBA490D4CB9AD4224FD47A9AA890CCC41718DD318E6E027AFA718C667D5D5DC5CFA1BB2AA9CED328550828960B5DABFBBBC283C44917DDD1Dh1F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8" Type="http://schemas.openxmlformats.org/officeDocument/2006/relationships/hyperlink" Target="consultantplus://offline/ref=DB1F7D19ABBA490D4CB9B34F329110A6A88756C34675818546BBE670F0F71E932795D38D17B81DE7FBD8B83E805CC8D82DFED5BDBE1Ah1F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2862</Words>
  <Characters>16314</Characters>
  <Application>Microsoft Office Word</Application>
  <DocSecurity>0</DocSecurity>
  <Lines>135</Lines>
  <Paragraphs>38</Paragraphs>
  <ScaleCrop>false</ScaleCrop>
  <Company/>
  <LinksUpToDate>false</LinksUpToDate>
  <CharactersWithSpaces>19138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Яна Игоревна</dc:creator>
  <cp:keywords/>
  <dc:description/>
  <cp:lastModifiedBy>Терентьева Яна Игоревна</cp:lastModifiedBy>
  <cp:revision>11</cp:revision>
  <dcterms:created xsi:type="dcterms:W3CDTF">2023-09-27T05:30:00Z</dcterms:created>
  <dcterms:modified xsi:type="dcterms:W3CDTF">2023-09-27T05:44:00Z</dcterms:modified>
</cp:coreProperties>
</file>